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6.png" ContentType="image/png"/>
  <Override PartName="/word/media/rId42.png" ContentType="image/png"/>
  <Override PartName="/word/media/rId28.png" ContentType="image/png"/>
  <Override PartName="/word/media/rId43.png" ContentType="image/png"/>
  <Override PartName="/word/media/rId48.png" ContentType="image/png"/>
  <Override PartName="/word/media/rId27.png" ContentType="image/png"/>
  <Override PartName="/word/media/rId32.png" ContentType="image/png"/>
  <Override PartName="/word/media/rId51.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089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0894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13433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134333"/>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θ</m:t>
        </m:r>
      </m:oMath>
      <w:r>
        <w:t xml:space="preserve"> </w:t>
      </w:r>
      <w:r>
        <w:t xml:space="preserve">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in growth rate occurs, and</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w:r>
        <w:rPr>
          <w:i/>
        </w:rPr>
        <w:t xml:space="preserve">We note that the maximum growth rate does not always occur on the doy_ip, and is controlled magically by theta somehow. (???)</w:t>
      </w:r>
      <w:r>
        <w:t xml:space="preserve"> </w:t>
      </w:r>
      <w:r>
        <w:t xml:space="preserve">Using the optimized parameters for each tree-year, we could then determine the</w:t>
      </w:r>
      <w:r>
        <w:t xml:space="preserve"> </w:t>
      </w:r>
      <m:oMath>
        <m:r>
          <m:t>D</m:t>
        </m:r>
        <m:r>
          <m:t>B</m:t>
        </m:r>
        <m:r>
          <m:t>H</m:t>
        </m:r>
      </m:oMath>
      <w:r>
        <w:t xml:space="preserve"> </w:t>
      </w:r>
      <w:r>
        <w:t xml:space="preserve">on every day within that year, giving us the ability to extract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br/>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February 1 (Julian day = 32) and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i</m:t>
            </m:r>
            <m:r>
              <m:t>p</m:t>
            </m:r>
          </m:sub>
        </m:sSub>
      </m:oMath>
      <w:r>
        <w:t xml:space="preserve">,</w:t>
      </w:r>
      <w:r>
        <w:t xml:space="preserve"> </w:t>
      </w:r>
      <m:oMath>
        <m:sSub>
          <m:e>
            <m:r>
              <m:t>r</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3"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06486"/>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06486"/>
                    </a:xfrm>
                    <a:prstGeom prst="rect">
                      <a:avLst/>
                    </a:prstGeom>
                    <a:noFill/>
                    <a:ln w="9525">
                      <a:noFill/>
                      <a:headEnd/>
                      <a:tailEnd/>
                    </a:ln>
                  </pic:spPr>
                </pic:pic>
              </a:graphicData>
            </a:graphic>
          </wp:inline>
        </w:drawing>
      </w:r>
    </w:p>
    <w:bookmarkEnd w:id="44"/>
    <w:bookmarkStart w:id="47"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5">
        <w:r>
          <w:rPr>
            <w:rStyle w:val="Hyperlink"/>
            <w:b/>
          </w:rPr>
          <w:t xml:space="preserve">issue 34</w:t>
        </w:r>
      </w:hyperlink>
      <w:r>
        <w:t xml:space="preserve"> </w:t>
      </w:r>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6"/>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7"/>
    <w:bookmarkStart w:id="50" w:name="climate-sensitivity-of-phenology"/>
    <w:p>
      <w:pPr>
        <w:pStyle w:val="Heading2"/>
      </w:pP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50"/>
    <w:bookmarkStart w:id="52"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2"/>
    <w:bookmarkEnd w:id="53"/>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77" w:name="references"/>
    <w:p>
      <w:pPr>
        <w:pStyle w:val="Heading1"/>
      </w:pPr>
      <w:r>
        <w:t xml:space="preserve">References</w:t>
      </w:r>
    </w:p>
    <w:bookmarkStart w:id="76" w:name="refs"/>
    <w:bookmarkStart w:id="59"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9"/>
    <w:bookmarkStart w:id="61"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0">
        <w:r>
          <w:rPr>
            <w:rStyle w:val="Hyperlink"/>
          </w:rPr>
          <w:t xml:space="preserve">https://doi.org/10.1111/j.1365-2486.2005.001012.x</w:t>
        </w:r>
      </w:hyperlink>
    </w:p>
    <w:bookmarkEnd w:id="61"/>
    <w:bookmarkStart w:id="6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2">
        <w:r>
          <w:rPr>
            <w:rStyle w:val="Hyperlink"/>
          </w:rPr>
          <w:t xml:space="preserve">https://doi.org/10.1175/JCLI3800.1</w:t>
        </w:r>
      </w:hyperlink>
    </w:p>
    <w:bookmarkEnd w:id="63"/>
    <w:bookmarkStart w:id="65"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4">
        <w:r>
          <w:rPr>
            <w:rStyle w:val="Hyperlink"/>
          </w:rPr>
          <w:t xml:space="preserve">https://doi.org/10.1111/gcb.14731</w:t>
        </w:r>
      </w:hyperlink>
    </w:p>
    <w:bookmarkEnd w:id="65"/>
    <w:bookmarkStart w:id="67"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6">
        <w:r>
          <w:rPr>
            <w:rStyle w:val="Hyperlink"/>
          </w:rPr>
          <w:t xml:space="preserve">https://doi.org/10.1038/nclimate2253</w:t>
        </w:r>
      </w:hyperlink>
    </w:p>
    <w:bookmarkEnd w:id="67"/>
    <w:bookmarkStart w:id="69"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8">
        <w:r>
          <w:rPr>
            <w:rStyle w:val="Hyperlink"/>
          </w:rPr>
          <w:t xml:space="preserve">https://doi.org/10.1002/ece3.1117</w:t>
        </w:r>
      </w:hyperlink>
    </w:p>
    <w:bookmarkEnd w:id="69"/>
    <w:bookmarkStart w:id="71"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0">
        <w:r>
          <w:rPr>
            <w:rStyle w:val="Hyperlink"/>
          </w:rPr>
          <w:t xml:space="preserve">https://doi.org/10.1007/s13595-020-01008-1</w:t>
        </w:r>
      </w:hyperlink>
    </w:p>
    <w:bookmarkEnd w:id="71"/>
    <w:bookmarkStart w:id="73"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2">
        <w:r>
          <w:rPr>
            <w:rStyle w:val="Hyperlink"/>
          </w:rPr>
          <w:t xml:space="preserve">https://doi.org/10.1016/j.catena.2020.104936</w:t>
        </w:r>
      </w:hyperlink>
    </w:p>
    <w:bookmarkEnd w:id="73"/>
    <w:bookmarkStart w:id="7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4">
        <w:r>
          <w:rPr>
            <w:rStyle w:val="Hyperlink"/>
          </w:rPr>
          <w:t xml:space="preserve">https://doi.org/10.1016/j.agrformet.2016.06.010</w:t>
        </w:r>
      </w:hyperlink>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1" Target="media/rId51.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45" Target="https://github.com/EcoClimLab/growth_phenology/issues/34"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2020-12-06T13:42:40Z</dcterms:created>
  <dcterms:modified xsi:type="dcterms:W3CDTF">2020-12-06T13:42:40Z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